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26" w:rsidRDefault="00334426" w:rsidP="0087699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34426" w:rsidRDefault="00334426" w:rsidP="0087699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34426" w:rsidRDefault="00334426" w:rsidP="0087699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ОСВІТНЯ ПРОГРАМА</w:t>
      </w:r>
    </w:p>
    <w:p w:rsidR="00334426" w:rsidRDefault="00334426" w:rsidP="0087699A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87699A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E18C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8C8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34426" w:rsidRDefault="00334426" w:rsidP="0087699A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4426" w:rsidRDefault="00334426" w:rsidP="0087699A">
      <w:pPr>
        <w:pStyle w:val="Default"/>
        <w:jc w:val="center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ступеня</w:t>
      </w:r>
    </w:p>
    <w:p w:rsidR="00334426" w:rsidRDefault="00334426" w:rsidP="006513E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 клас</w:t>
      </w:r>
    </w:p>
    <w:p w:rsidR="00334426" w:rsidRDefault="00334426" w:rsidP="0087699A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Освітня програма загальної середньої освіти І ступеня для 4 клас</w:t>
      </w:r>
      <w:r w:rsidR="00552E9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 та сформована на основі Типової освітньої програми, яка затверджена наказом МОН України від 20.04.2018 року № 407.</w:t>
      </w:r>
    </w:p>
    <w:p w:rsidR="00334426" w:rsidRDefault="00334426" w:rsidP="00E96A4F">
      <w:pPr>
        <w:pStyle w:val="Default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Типова освітня програма початкової освіти окреслює  підходи до планування й організації в школі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освіти. </w:t>
      </w:r>
    </w:p>
    <w:p w:rsidR="00334426" w:rsidRDefault="00334426" w:rsidP="00E96A4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Типова освітня програма визначає: </w:t>
      </w:r>
    </w:p>
    <w:p w:rsidR="00334426" w:rsidRDefault="00334426" w:rsidP="00E96A4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рамках навчальних планів (таблиці 1-7);</w:t>
      </w:r>
    </w:p>
    <w:p w:rsidR="00334426" w:rsidRDefault="00334426" w:rsidP="00E96A4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очікувані результати навчання учнів подані в рамках навчальних програм, перелік яких наведено в таблиці 8;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334426" w:rsidRDefault="00334426" w:rsidP="00E96A4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334426" w:rsidRDefault="00334426" w:rsidP="00E96A4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вимоги до осіб, які можуть розпочати навчання за цією Типовою освітньою програмою. </w:t>
      </w:r>
    </w:p>
    <w:p w:rsidR="00334426" w:rsidRDefault="00334426" w:rsidP="005721BF">
      <w:pPr>
        <w:pStyle w:val="Default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Загальний обсяг навчального навантаження та  тривалість і можливі взаємозв’язки освітніх галузей, предметів, дисциплін. 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5721BF" w:rsidRPr="005721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proofErr w:type="gramEnd"/>
      <w:r w:rsidR="005721BF" w:rsidRPr="00572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5721BF" w:rsidRPr="005721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721BF" w:rsidRPr="005721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4-</w:t>
      </w:r>
      <w:r w:rsidR="005721BF" w:rsidRPr="005721B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910</w:t>
      </w:r>
      <w:r>
        <w:rPr>
          <w:rFonts w:ascii="Times New Roman" w:hAnsi="Times New Roman" w:cs="Times New Roman"/>
          <w:sz w:val="28"/>
          <w:szCs w:val="28"/>
        </w:rPr>
        <w:t xml:space="preserve"> годин/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proofErr w:type="gram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окреслено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21BF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="005721BF">
        <w:rPr>
          <w:rFonts w:ascii="Times New Roman" w:hAnsi="Times New Roman" w:cs="Times New Roman"/>
          <w:sz w:val="28"/>
          <w:szCs w:val="28"/>
        </w:rPr>
        <w:t xml:space="preserve"> на 20</w:t>
      </w:r>
      <w:r w:rsidR="005721B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5721B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66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Типової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яка затверджена наказом МОН України від 20.04.2018 року № 407.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proofErr w:type="gram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наведено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 № 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20.04.2018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пропонований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334426" w:rsidRDefault="00334426" w:rsidP="005721BF">
      <w:pPr>
        <w:pStyle w:val="Default"/>
        <w:rPr>
          <w:sz w:val="28"/>
          <w:szCs w:val="28"/>
          <w:lang w:val="uk-UA"/>
        </w:rPr>
      </w:pPr>
    </w:p>
    <w:p w:rsidR="00334426" w:rsidRDefault="00334426" w:rsidP="0076688F">
      <w:pPr>
        <w:pStyle w:val="Default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Освітня галузь "Мови і літератури" з урахуванням вікових особливостей учнів буде реалізовуватися через окремі предмети "Українська мова (мова і читання)", "Німецька мова". 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"Математика",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однойменні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>,-"Математика",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предметом "Я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культура"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предметами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культура". 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предметами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>" і "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334426" w:rsidRDefault="00334426" w:rsidP="005721BF">
      <w:pPr>
        <w:pStyle w:val="Default"/>
        <w:rPr>
          <w:sz w:val="28"/>
          <w:szCs w:val="28"/>
        </w:rPr>
      </w:pPr>
    </w:p>
    <w:p w:rsidR="00334426" w:rsidRDefault="00343211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442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="00334426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proofErr w:type="gramEnd"/>
      <w:r w:rsidR="00334426">
        <w:rPr>
          <w:rFonts w:ascii="Times New Roman" w:hAnsi="Times New Roman" w:cs="Times New Roman"/>
          <w:sz w:val="28"/>
          <w:szCs w:val="28"/>
        </w:rPr>
        <w:t xml:space="preserve"> допустимого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ураховані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санітарно-гігієнічні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нормативну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у 2-4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– 40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426" w:rsidRDefault="00343211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3442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2011 року № 462 «Про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допустимого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426" w:rsidRDefault="00334426" w:rsidP="0076688F">
      <w:pPr>
        <w:widowControl/>
        <w:ind w:right="8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варіативну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буде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використаний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334426" w:rsidRDefault="00334426" w:rsidP="00E96A4F">
      <w:pPr>
        <w:widowControl/>
        <w:ind w:right="85" w:firstLine="709"/>
        <w:jc w:val="both"/>
        <w:rPr>
          <w:rFonts w:ascii="Calibri" w:hAnsi="Calibri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1.підсилення предметів інваріантної складової:</w:t>
      </w:r>
    </w:p>
    <w:p w:rsidR="00334426" w:rsidRDefault="00334426" w:rsidP="0076688F">
      <w:pPr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година   українська мова в 4 клас</w:t>
      </w:r>
      <w:r w:rsidR="005721B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34426" w:rsidRDefault="00334426" w:rsidP="0076688F">
      <w:pPr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1</w:t>
      </w:r>
      <w:r w:rsidR="005721BF">
        <w:rPr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година  математика в 4 клас</w:t>
      </w:r>
      <w:r w:rsidR="005721B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426" w:rsidRDefault="005721BF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належить до головних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школи. Тому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навичок здорового способу життя та безпечної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здійснюється не лише в рамках предметів "Фізична культура" та "Основи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здоров'я", а інтегрується у змісті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інваріантної та варіативної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складових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4426" w:rsidRPr="003856ED">
        <w:rPr>
          <w:rFonts w:ascii="Times New Roman" w:hAnsi="Times New Roman" w:cs="Times New Roman"/>
          <w:sz w:val="28"/>
          <w:szCs w:val="28"/>
          <w:lang w:val="uk-UA"/>
        </w:rPr>
        <w:t xml:space="preserve">планів. </w:t>
      </w:r>
    </w:p>
    <w:p w:rsidR="00334426" w:rsidRDefault="005721BF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3442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34426" w:rsidRDefault="00334426" w:rsidP="0076688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Навчальні плани зорієнтовані на роботу основної школи за 5-денним навчальним тижнем.</w:t>
      </w:r>
    </w:p>
    <w:p w:rsidR="003856ED" w:rsidRDefault="003856ED" w:rsidP="003856E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Структура 20</w:t>
      </w:r>
      <w:r w:rsidRPr="003856ED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/202</w:t>
      </w:r>
      <w:r w:rsidRPr="003856ED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року</w:t>
      </w:r>
    </w:p>
    <w:p w:rsidR="003856ED" w:rsidRDefault="003856ED" w:rsidP="003856E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День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знань</w:t>
      </w:r>
      <w:proofErr w:type="spellEnd"/>
    </w:p>
    <w:p w:rsidR="003856ED" w:rsidRDefault="003856ED" w:rsidP="003856E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 семестр – з 01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24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2020 року</w:t>
      </w:r>
    </w:p>
    <w:p w:rsidR="003856ED" w:rsidRDefault="003856ED" w:rsidP="003856E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ІІ семестр – з 11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28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2021 року</w:t>
      </w:r>
    </w:p>
    <w:p w:rsidR="003856ED" w:rsidRDefault="003856ED" w:rsidP="003856E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Канікули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</w:p>
    <w:p w:rsidR="003856ED" w:rsidRDefault="003856ED" w:rsidP="003856E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осінні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з 26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01 листопада 2020 року</w:t>
      </w:r>
    </w:p>
    <w:p w:rsidR="003856ED" w:rsidRDefault="003856ED" w:rsidP="003856E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зимові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з 25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2020 року по 10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2021 року</w:t>
      </w:r>
    </w:p>
    <w:p w:rsidR="003856ED" w:rsidRDefault="003856ED" w:rsidP="003856E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весняні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з 22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2021 року по 28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2021 року</w:t>
      </w:r>
    </w:p>
    <w:p w:rsidR="00334426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43211" w:rsidRDefault="00343211" w:rsidP="00E96A4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426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Очікувані</w:t>
      </w:r>
      <w:proofErr w:type="spellEnd"/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здобувачів</w:t>
      </w:r>
      <w:proofErr w:type="spellEnd"/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34426" w:rsidRDefault="005721BF" w:rsidP="00E6259C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до мети та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окреслених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стандарті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у рамках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33442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334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426" w:rsidRPr="0087699A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99A">
        <w:rPr>
          <w:rFonts w:ascii="Times New Roman" w:hAnsi="Times New Roman" w:cs="Times New Roman"/>
          <w:sz w:val="28"/>
          <w:szCs w:val="28"/>
          <w:lang w:val="uk-UA"/>
        </w:rPr>
        <w:t xml:space="preserve">Такі ключові компетентності, як уміння вчитися, ініціативність і </w:t>
      </w:r>
      <w:proofErr w:type="spellStart"/>
      <w:r w:rsidRPr="0087699A">
        <w:rPr>
          <w:rFonts w:ascii="Times New Roman" w:hAnsi="Times New Roman" w:cs="Times New Roman"/>
          <w:sz w:val="28"/>
          <w:szCs w:val="28"/>
          <w:lang w:val="uk-UA"/>
        </w:rPr>
        <w:t>підприєм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699A">
        <w:rPr>
          <w:rFonts w:ascii="Times New Roman" w:hAnsi="Times New Roman" w:cs="Times New Roman"/>
          <w:sz w:val="28"/>
          <w:szCs w:val="28"/>
          <w:lang w:val="uk-UA"/>
        </w:rPr>
        <w:t>ливість</w:t>
      </w:r>
      <w:proofErr w:type="spellEnd"/>
      <w:r w:rsidRPr="0087699A">
        <w:rPr>
          <w:rFonts w:ascii="Times New Roman" w:hAnsi="Times New Roman" w:cs="Times New Roman"/>
          <w:sz w:val="28"/>
          <w:szCs w:val="28"/>
          <w:lang w:val="uk-UA"/>
        </w:rPr>
        <w:t xml:space="preserve">, екологічна грамотність і здоровий спосіб життя, соціальна та </w:t>
      </w:r>
      <w:proofErr w:type="spellStart"/>
      <w:r w:rsidRPr="0087699A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699A">
        <w:rPr>
          <w:rFonts w:ascii="Times New Roman" w:hAnsi="Times New Roman" w:cs="Times New Roman"/>
          <w:sz w:val="28"/>
          <w:szCs w:val="28"/>
          <w:lang w:val="uk-UA"/>
        </w:rPr>
        <w:t>дянська</w:t>
      </w:r>
      <w:proofErr w:type="spellEnd"/>
      <w:r w:rsidRPr="0087699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7699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7699A">
        <w:rPr>
          <w:rFonts w:ascii="Times New Roman" w:hAnsi="Times New Roman" w:cs="Times New Roman"/>
          <w:sz w:val="28"/>
          <w:szCs w:val="28"/>
          <w:lang w:val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7699A"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 w:rsidRPr="0087699A">
        <w:rPr>
          <w:rFonts w:ascii="Times New Roman" w:hAnsi="Times New Roman" w:cs="Times New Roman"/>
          <w:sz w:val="28"/>
          <w:szCs w:val="28"/>
          <w:lang w:val="uk-UA"/>
        </w:rPr>
        <w:t xml:space="preserve">» спрямоване на формування в учнів здатності застосовувати знання й уміння у реальних життєвих ситуаціях. </w:t>
      </w:r>
    </w:p>
    <w:p w:rsidR="00334426" w:rsidRPr="0087699A" w:rsidRDefault="005721BF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4426" w:rsidRPr="0087699A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умовою формування </w:t>
      </w:r>
      <w:proofErr w:type="spellStart"/>
      <w:r w:rsidR="00334426" w:rsidRPr="0087699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334426" w:rsidRPr="0087699A">
        <w:rPr>
          <w:rFonts w:ascii="Times New Roman" w:hAnsi="Times New Roman" w:cs="Times New Roman"/>
          <w:sz w:val="28"/>
          <w:szCs w:val="28"/>
          <w:lang w:val="uk-U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</w:p>
    <w:p w:rsidR="00334426" w:rsidRDefault="005721BF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344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Форми організації освітнього процесу. </w:t>
      </w:r>
    </w:p>
    <w:p w:rsidR="00334426" w:rsidRDefault="00334426" w:rsidP="00E96A4F">
      <w:pPr>
        <w:pStyle w:val="Default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Основними формами організації освітнього процесу є різні типи уроку, екскурсії, віртуальні подорожі, спектаклі,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вчитель організує у межах уроку або в позаурочний час. </w:t>
      </w:r>
    </w:p>
    <w:p w:rsidR="00334426" w:rsidRPr="00E6259C" w:rsidRDefault="00334426" w:rsidP="00E96A4F">
      <w:pPr>
        <w:pStyle w:val="Default"/>
        <w:jc w:val="both"/>
        <w:rPr>
          <w:sz w:val="28"/>
          <w:szCs w:val="28"/>
          <w:lang w:val="uk-UA"/>
        </w:rPr>
      </w:pPr>
      <w:r w:rsidRPr="00E6259C">
        <w:rPr>
          <w:rFonts w:ascii="Times New Roman" w:hAnsi="Times New Roman" w:cs="Times New Roman"/>
          <w:sz w:val="28"/>
          <w:szCs w:val="28"/>
          <w:lang w:val="uk-UA"/>
        </w:rPr>
        <w:t>Вибір форм і методів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самостійно, враховуючи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конкретні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роботи, забезпечуючи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конкретних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очікуваних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результатів, зазначених у навчальних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програмах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 xml:space="preserve">предметів. </w:t>
      </w:r>
    </w:p>
    <w:p w:rsidR="00334426" w:rsidRPr="00E6259C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та інструменти</w:t>
      </w:r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системи</w:t>
      </w:r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внутрішнього</w:t>
      </w:r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якості</w:t>
      </w:r>
      <w:r w:rsid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освіти. </w:t>
      </w:r>
    </w:p>
    <w:p w:rsidR="00334426" w:rsidRPr="00E6259C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59C">
        <w:rPr>
          <w:rFonts w:ascii="Times New Roman" w:hAnsi="Times New Roman" w:cs="Times New Roman"/>
          <w:sz w:val="28"/>
          <w:szCs w:val="28"/>
          <w:lang w:val="uk-UA"/>
        </w:rPr>
        <w:t>Система внутрішнього</w:t>
      </w:r>
      <w:r w:rsidR="00E6259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якості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>складається з наступних</w:t>
      </w:r>
      <w:r w:rsidR="00572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59C">
        <w:rPr>
          <w:rFonts w:ascii="Times New Roman" w:hAnsi="Times New Roman" w:cs="Times New Roman"/>
          <w:sz w:val="28"/>
          <w:szCs w:val="28"/>
          <w:lang w:val="uk-UA"/>
        </w:rPr>
        <w:t xml:space="preserve">компонентів: </w:t>
      </w:r>
    </w:p>
    <w:p w:rsidR="00334426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кадрове</w:t>
      </w:r>
      <w:proofErr w:type="spellEnd"/>
      <w:r w:rsidR="00E625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E625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="00E625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1047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4119"/>
        <w:gridCol w:w="2315"/>
        <w:gridCol w:w="3805"/>
      </w:tblGrid>
      <w:tr w:rsidR="00334426" w:rsidTr="00BF148C">
        <w:tc>
          <w:tcPr>
            <w:tcW w:w="236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Євстратьєва</w:t>
            </w:r>
            <w:proofErr w:type="spellEnd"/>
            <w:r w:rsidR="00572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  <w:proofErr w:type="spellEnd"/>
            <w:r w:rsidR="00572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315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Початковікласи</w:t>
            </w:r>
            <w:proofErr w:type="spellEnd"/>
          </w:p>
        </w:tc>
        <w:tc>
          <w:tcPr>
            <w:tcW w:w="3805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</w:tr>
      <w:tr w:rsidR="00334426" w:rsidTr="00BF148C">
        <w:tc>
          <w:tcPr>
            <w:tcW w:w="236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9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Жуган</w:t>
            </w:r>
            <w:proofErr w:type="spellEnd"/>
            <w:r w:rsidR="00572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proofErr w:type="spellEnd"/>
            <w:r w:rsidR="00572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315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Фіз.вих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05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</w:tr>
      <w:tr w:rsidR="00334426" w:rsidTr="00BF148C">
        <w:tc>
          <w:tcPr>
            <w:tcW w:w="236" w:type="dxa"/>
          </w:tcPr>
          <w:p w:rsidR="00334426" w:rsidRDefault="005721BF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9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Павлівна</w:t>
            </w:r>
          </w:p>
        </w:tc>
        <w:tc>
          <w:tcPr>
            <w:tcW w:w="2315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Німецькамова</w:t>
            </w:r>
            <w:proofErr w:type="spellEnd"/>
          </w:p>
        </w:tc>
        <w:tc>
          <w:tcPr>
            <w:tcW w:w="3805" w:type="dxa"/>
          </w:tcPr>
          <w:p w:rsidR="00334426" w:rsidRDefault="00334426" w:rsidP="00E96A4F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</w:tr>
    </w:tbl>
    <w:p w:rsidR="00334426" w:rsidRDefault="00334426" w:rsidP="00E96A4F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-методичне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5721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426" w:rsidRDefault="00334426" w:rsidP="00E96A4F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Перелік навчальних програм для учнів закладів загальної середньої освіти І ступеня (затверджені наказом МОН від 29.05.2015 № 584)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283"/>
      </w:tblGrid>
      <w:tr w:rsidR="00334426" w:rsidTr="0087699A">
        <w:trPr>
          <w:trHeight w:val="20"/>
        </w:trPr>
        <w:tc>
          <w:tcPr>
            <w:tcW w:w="617" w:type="dxa"/>
          </w:tcPr>
          <w:p w:rsidR="00334426" w:rsidRDefault="00334426" w:rsidP="00E96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83" w:type="dxa"/>
          </w:tcPr>
          <w:p w:rsidR="00334426" w:rsidRDefault="00334426" w:rsidP="00E96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="005721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</w:t>
            </w:r>
            <w:proofErr w:type="spellEnd"/>
            <w:r w:rsidR="005721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7" w:tgtFrame="_blank" w:history="1"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Українська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мова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8" w:tgtFrame="_blank" w:history="1"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Інформатика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proofErr w:type="gram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2–4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класів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9" w:tgtFrame="_blank" w:history="1"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Літературне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читання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2–4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10" w:tgtFrame="_blank" w:history="1"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Математика.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11" w:tgtFrame="_blank" w:history="1"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Мистецтво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lastRenderedPageBreak/>
                <w:t xml:space="preserve">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12" w:tgtFrame="_blank" w:history="1"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Музичне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мистецтво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13" w:tgtFrame="_blank" w:history="1"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Образотворче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мистецтво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14" w:tgtFrame="_blank" w:history="1"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Основи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здоров'я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15" w:tgtFrame="_blank" w:history="1"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Природознавство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16" w:tgtFrame="_blank" w:history="1"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Трудове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навчання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.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  <w:tr w:rsidR="00334426" w:rsidRPr="003E18C8" w:rsidTr="0087699A">
        <w:trPr>
          <w:trHeight w:val="20"/>
        </w:trPr>
        <w:tc>
          <w:tcPr>
            <w:tcW w:w="617" w:type="dxa"/>
          </w:tcPr>
          <w:p w:rsidR="00334426" w:rsidRPr="00FF3D2A" w:rsidRDefault="00334426" w:rsidP="00E96A4F">
            <w:pPr>
              <w:widowControl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283" w:type="dxa"/>
          </w:tcPr>
          <w:p w:rsidR="00334426" w:rsidRPr="00FF3D2A" w:rsidRDefault="003D76CC" w:rsidP="005721B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hyperlink r:id="rId17" w:tgtFrame="_blank" w:history="1"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Фізична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культура. </w:t>
              </w:r>
              <w:proofErr w:type="spellStart"/>
              <w:proofErr w:type="gram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Навчальна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програма</w:t>
              </w:r>
              <w:proofErr w:type="spellEnd"/>
              <w:proofErr w:type="gram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для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загальноосвітніх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навчальних</w:t>
              </w:r>
              <w:proofErr w:type="spellEnd"/>
              <w:r w:rsidR="005721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закладів</w:t>
              </w:r>
              <w:proofErr w:type="spellEnd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 xml:space="preserve"> 1–4 </w:t>
              </w:r>
              <w:proofErr w:type="spellStart"/>
              <w:r w:rsidR="00334426" w:rsidRPr="00FF3D2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класи</w:t>
              </w:r>
              <w:proofErr w:type="spellEnd"/>
            </w:hyperlink>
          </w:p>
        </w:tc>
      </w:tr>
    </w:tbl>
    <w:p w:rsidR="00334426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D2A">
        <w:rPr>
          <w:color w:val="auto"/>
          <w:lang w:val="uk-UA"/>
        </w:rPr>
        <w:t xml:space="preserve">- </w:t>
      </w:r>
      <w:proofErr w:type="spellStart"/>
      <w:r w:rsidRPr="00FF3D2A">
        <w:rPr>
          <w:rFonts w:ascii="Times New Roman" w:hAnsi="Times New Roman" w:cs="Times New Roman"/>
          <w:color w:val="auto"/>
          <w:sz w:val="28"/>
          <w:szCs w:val="28"/>
        </w:rPr>
        <w:t>матеріально-технічне</w:t>
      </w:r>
      <w:proofErr w:type="spellEnd"/>
      <w:r w:rsidR="005721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FF3D2A">
        <w:rPr>
          <w:rFonts w:ascii="Times New Roman" w:hAnsi="Times New Roman" w:cs="Times New Roman"/>
          <w:color w:val="auto"/>
          <w:sz w:val="28"/>
          <w:szCs w:val="28"/>
        </w:rPr>
        <w:t>забезпечення</w:t>
      </w:r>
      <w:proofErr w:type="spellEnd"/>
      <w:r w:rsidR="005721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FF3D2A">
        <w:rPr>
          <w:rFonts w:ascii="Times New Roman" w:hAnsi="Times New Roman" w:cs="Times New Roman"/>
          <w:color w:val="auto"/>
          <w:sz w:val="28"/>
          <w:szCs w:val="28"/>
        </w:rPr>
        <w:t>освітньої</w:t>
      </w:r>
      <w:proofErr w:type="spellEnd"/>
      <w:r w:rsidR="005721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FF3D2A">
        <w:rPr>
          <w:rFonts w:ascii="Times New Roman" w:hAnsi="Times New Roman" w:cs="Times New Roman"/>
          <w:color w:val="auto"/>
          <w:sz w:val="28"/>
          <w:szCs w:val="28"/>
        </w:rPr>
        <w:t>діяльн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426" w:rsidRDefault="00334426" w:rsidP="00E96A4F">
      <w:pPr>
        <w:ind w:firstLine="180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Комунальний заклад «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Олександрівський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освітній комплекс»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Ширяївської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селищної ради Одеської області розміщений у двоповерховій будівлі, яка була введена у експлуатацію у 1978 році. Загальна площа всіх приміщень – </w:t>
      </w:r>
      <w:smartTag w:uri="urn:schemas-microsoft-com:office:smarttags" w:element="metricconverter">
        <w:smartTagPr>
          <w:attr w:name="ProductID" w:val="2225 м2"/>
        </w:smartTagPr>
        <w:r>
          <w:rPr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2225 м</w:t>
        </w:r>
        <w:r>
          <w:rPr>
            <w:rFonts w:ascii="Times New Roman" w:hAnsi="Times New Roman"/>
            <w:bCs/>
            <w:sz w:val="28"/>
            <w:szCs w:val="28"/>
            <w:shd w:val="clear" w:color="auto" w:fill="FFFFFF"/>
            <w:vertAlign w:val="superscript"/>
            <w:lang w:val="uk-UA"/>
          </w:rPr>
          <w:t>2</w:t>
        </w:r>
      </w:smartTag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Проектна потужність школи – 245 учнів.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Учні </w:t>
      </w:r>
      <w:r w:rsidRPr="00FF3D2A">
        <w:rPr>
          <w:rFonts w:ascii="Times New Roman" w:hAnsi="Times New Roman"/>
          <w:bCs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клас</w:t>
      </w:r>
      <w:r w:rsidR="003E18C8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працюють у класн</w:t>
      </w:r>
      <w:r w:rsidR="003E18C8">
        <w:rPr>
          <w:rFonts w:ascii="Times New Roman" w:hAnsi="Times New Roman"/>
          <w:bCs/>
          <w:sz w:val="28"/>
          <w:szCs w:val="28"/>
          <w:lang w:val="uk-UA" w:eastAsia="ru-RU"/>
        </w:rPr>
        <w:t>ій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кімнат</w:t>
      </w:r>
      <w:r w:rsidR="003E18C8"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334426" w:rsidRDefault="00334426" w:rsidP="00E96A4F">
      <w:pPr>
        <w:ind w:firstLine="180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Заклад освіти має бібліотеку, методичний кабінет, кабінет директора,  кабінет технічного персоналу, шкільну їдальню, спортивний майданчик, спортивну залу. </w:t>
      </w:r>
    </w:p>
    <w:p w:rsidR="00334426" w:rsidRDefault="00334426" w:rsidP="00E96A4F">
      <w:pPr>
        <w:ind w:firstLine="180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Всі кабінети, де проводяться навчальні заняття, відповідають Державним санітарним правилам і нормам влаштування, утримання загальноосвітніх навчальних закладів та організації освітнього процесу, які погоджені листом МОН України від 05.06.2001 р. за № 1/12-1459, в них створені необхідні умови для занять. </w:t>
      </w:r>
    </w:p>
    <w:p w:rsidR="00334426" w:rsidRDefault="00334426" w:rsidP="00E96A4F">
      <w:pPr>
        <w:ind w:firstLine="18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Шкільна їдальня має 60 місць, кухня оснащена  електроплитою (4</w:t>
      </w:r>
      <w:r>
        <w:rPr>
          <w:rFonts w:ascii="Times New Roman" w:hAnsi="Times New Roman"/>
          <w:bCs/>
          <w:sz w:val="28"/>
          <w:szCs w:val="28"/>
          <w:vertAlign w:val="superscript"/>
          <w:lang w:val="uk-UA" w:eastAsia="ru-RU"/>
        </w:rPr>
        <w:t>х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конфорною), холодильником, забезпечена необхідним посудом та меблями. У наявності проточна холодна вода, гаряча вода забезпечується  бойлером, обладнано питний фонтан. Приготування їжі здійснюється для учнів 1-4 класів та учнів 5-11 класів пільгового контингенту.</w:t>
      </w:r>
    </w:p>
    <w:p w:rsidR="00334426" w:rsidRDefault="00334426" w:rsidP="0076688F">
      <w:pPr>
        <w:ind w:firstLine="180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Кабінет</w:t>
      </w:r>
      <w:proofErr w:type="spellEnd"/>
      <w:r w:rsidR="005721B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інформатики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укомплектований </w:t>
      </w:r>
      <w:r w:rsidR="005721BF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комп’ютерами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тому числі мето</w:t>
      </w:r>
      <w:r w:rsidR="0076688F">
        <w:rPr>
          <w:rFonts w:ascii="Times New Roman" w:hAnsi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дичному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кабінеті – 1, у кабінеті директора - 1.  Н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всіх комп’ютерах </w:t>
      </w:r>
      <w:proofErr w:type="spellStart"/>
      <w:r w:rsidRPr="00E6259C">
        <w:rPr>
          <w:rFonts w:ascii="Times New Roman" w:hAnsi="Times New Roman"/>
          <w:sz w:val="28"/>
          <w:szCs w:val="28"/>
          <w:lang w:val="uk-UA" w:eastAsia="ru-RU"/>
        </w:rPr>
        <w:t>встанов</w:t>
      </w:r>
      <w:r w:rsidR="0076688F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лена</w:t>
      </w:r>
      <w:proofErr w:type="spellEnd"/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ліцензійна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версія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операційної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системи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Windows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. Заклад має доступ до мережі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Internet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 xml:space="preserve">. У </w:t>
      </w:r>
      <w:r>
        <w:rPr>
          <w:rFonts w:ascii="Times New Roman" w:hAnsi="Times New Roman"/>
          <w:sz w:val="28"/>
          <w:szCs w:val="28"/>
          <w:lang w:val="uk-UA" w:eastAsia="ru-RU"/>
        </w:rPr>
        <w:t>освітньому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процесі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використовуються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ліцензійні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програмні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6259C">
        <w:rPr>
          <w:rFonts w:ascii="Times New Roman" w:hAnsi="Times New Roman"/>
          <w:sz w:val="28"/>
          <w:szCs w:val="28"/>
          <w:lang w:val="uk-UA" w:eastAsia="ru-RU"/>
        </w:rPr>
        <w:t>засоби, які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18C8">
        <w:rPr>
          <w:rFonts w:ascii="Times New Roman" w:hAnsi="Times New Roman"/>
          <w:sz w:val="28"/>
          <w:szCs w:val="28"/>
          <w:lang w:val="uk-UA" w:eastAsia="ru-RU"/>
        </w:rPr>
        <w:t xml:space="preserve">мають гриф </w:t>
      </w:r>
      <w:proofErr w:type="spellStart"/>
      <w:r w:rsidR="003E18C8">
        <w:rPr>
          <w:rFonts w:ascii="Times New Roman" w:hAnsi="Times New Roman"/>
          <w:sz w:val="28"/>
          <w:szCs w:val="28"/>
          <w:lang w:val="uk-UA" w:eastAsia="ru-RU"/>
        </w:rPr>
        <w:t>МОНу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До послуг учасників освітнього процесу – 1 музичний центр, мультимедійний проектор, принтер. </w:t>
      </w:r>
      <w:r w:rsidR="0076688F">
        <w:rPr>
          <w:rFonts w:ascii="Times New Roman" w:hAnsi="Times New Roman"/>
          <w:bCs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управлінській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використовується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343211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комп’ютер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334426" w:rsidRDefault="00334426" w:rsidP="00E96A4F">
      <w:pPr>
        <w:ind w:firstLine="18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Спортивна зала площею </w:t>
      </w:r>
      <w:smartTag w:uri="urn:schemas-microsoft-com:office:smarttags" w:element="metricconverter">
        <w:smartTagPr>
          <w:attr w:name="ProductID" w:val="153 м2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153 м</w:t>
        </w:r>
        <w:r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2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 xml:space="preserve"> укомплектована необхідним спортивним інвентарем.</w:t>
      </w:r>
    </w:p>
    <w:p w:rsidR="00334426" w:rsidRDefault="00334426" w:rsidP="00E96A4F">
      <w:pPr>
        <w:ind w:firstLine="180"/>
        <w:jc w:val="both"/>
        <w:outlineLvl w:val="5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Для забезпечення учасників освітнього процесу навчальною, методичною, художньою літературою у школі працює бібліотека.</w:t>
      </w:r>
    </w:p>
    <w:p w:rsidR="00334426" w:rsidRDefault="00334426" w:rsidP="0076688F">
      <w:pPr>
        <w:ind w:firstLine="18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Естетичне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оформлення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приміщення</w:t>
      </w:r>
      <w:proofErr w:type="spellEnd"/>
      <w:r w:rsidR="00343211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КЗ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Олександрівський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ОК»</w:t>
      </w:r>
      <w:r w:rsidR="00343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здійснено</w:t>
      </w:r>
      <w:proofErr w:type="spellEnd"/>
      <w:r w:rsidR="003432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нормативних</w:t>
      </w:r>
      <w:proofErr w:type="spellEnd"/>
      <w:r w:rsidR="003432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актів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дотримано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єдиному</w:t>
      </w:r>
      <w:proofErr w:type="spellEnd"/>
      <w:r w:rsidR="00343211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стилі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формлені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інформаційні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стенди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коридорах,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учительській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Кожне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приміщення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закладу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має</w:t>
      </w:r>
      <w:proofErr w:type="spellEnd"/>
      <w:r w:rsidR="003432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інформаційну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табличку з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назвою</w:t>
      </w:r>
      <w:proofErr w:type="spellEnd"/>
      <w:r w:rsidR="003432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334426" w:rsidRDefault="00334426" w:rsidP="0076688F">
      <w:pPr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Пришкільна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територія</w:t>
      </w:r>
      <w:proofErr w:type="spellEnd"/>
      <w:r w:rsidR="00343211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упорядкована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достатньому</w:t>
      </w:r>
      <w:proofErr w:type="spellEnd"/>
      <w:r w:rsidR="003432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рівні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На території школи є поле для міні футболу, спортивний майданчик обладнані з урахуванням вимог безпеки.</w:t>
      </w:r>
    </w:p>
    <w:p w:rsidR="00334426" w:rsidRDefault="00334426" w:rsidP="0076688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426" w:rsidRDefault="00334426" w:rsidP="0076688F">
      <w:pPr>
        <w:pStyle w:val="1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Адміністрація закладу відвідує </w:t>
      </w:r>
      <w:proofErr w:type="spellStart"/>
      <w:r>
        <w:rPr>
          <w:rFonts w:ascii="Times New Roman" w:hAnsi="Times New Roman"/>
          <w:sz w:val="28"/>
          <w:szCs w:val="28"/>
        </w:rPr>
        <w:t>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вчителів за графіком, відбувається проведення контрольних робіт (за навчальним планом та за графіком), здійснюється  рейтингова система оцінювання учнів за семестрами, рейтингова система оцінювання вчителів за предметами,  бесіди-інтерв’ю з педагогами, самооцінка тощо).</w:t>
      </w:r>
      <w:bookmarkStart w:id="0" w:name="_GoBack"/>
      <w:bookmarkEnd w:id="0"/>
    </w:p>
    <w:p w:rsidR="00334426" w:rsidRDefault="00334426" w:rsidP="00E96A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699"/>
        <w:gridCol w:w="2361"/>
      </w:tblGrid>
      <w:tr w:rsidR="00334426" w:rsidTr="00343211">
        <w:trPr>
          <w:jc w:val="center"/>
        </w:trPr>
        <w:tc>
          <w:tcPr>
            <w:tcW w:w="6699" w:type="dxa"/>
            <w:vAlign w:val="center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Змістроботи</w:t>
            </w:r>
            <w:proofErr w:type="spellEnd"/>
          </w:p>
        </w:tc>
        <w:tc>
          <w:tcPr>
            <w:tcW w:w="2361" w:type="dxa"/>
            <w:vAlign w:val="center"/>
          </w:tcPr>
          <w:p w:rsidR="00334426" w:rsidRDefault="00334426" w:rsidP="00E96A4F">
            <w:pPr>
              <w:ind w:right="-81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</w:tc>
      </w:tr>
      <w:tr w:rsidR="00334426" w:rsidTr="00343211">
        <w:trPr>
          <w:jc w:val="center"/>
        </w:trPr>
        <w:tc>
          <w:tcPr>
            <w:tcW w:w="6699" w:type="dxa"/>
            <w:vAlign w:val="center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Організаційнийконтроль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61" w:type="dxa"/>
            <w:vAlign w:val="center"/>
          </w:tcPr>
          <w:p w:rsidR="00334426" w:rsidRDefault="00334426" w:rsidP="00E96A4F">
            <w:pPr>
              <w:ind w:right="-81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Перевірка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календарно-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тематичних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планів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предметів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керівників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гуртків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(на семестр)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класу</w:t>
            </w:r>
            <w:proofErr w:type="spellEnd"/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34426" w:rsidRPr="00FF3D2A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графіку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внутрішнього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контролю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1" w:type="dxa"/>
          </w:tcPr>
          <w:p w:rsidR="00334426" w:rsidRPr="00343211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3211">
              <w:rPr>
                <w:rFonts w:ascii="Times New Roman" w:hAnsi="Times New Roman"/>
                <w:sz w:val="28"/>
                <w:szCs w:val="28"/>
              </w:rPr>
              <w:t>19.09.20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забезпеченості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підручниками</w:t>
            </w:r>
            <w:proofErr w:type="spellEnd"/>
          </w:p>
          <w:p w:rsidR="00334426" w:rsidRDefault="00334426" w:rsidP="003E18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</w:t>
            </w:r>
            <w:r w:rsidR="003E18C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End"/>
          </w:p>
        </w:tc>
        <w:tc>
          <w:tcPr>
            <w:tcW w:w="2361" w:type="dxa"/>
          </w:tcPr>
          <w:p w:rsidR="00334426" w:rsidRPr="00343211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343211">
            <w:pPr>
              <w:ind w:right="-8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санітарно-гігієнічних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норм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  <w:tc>
          <w:tcPr>
            <w:tcW w:w="2361" w:type="dxa"/>
          </w:tcPr>
          <w:p w:rsidR="00334426" w:rsidRPr="00343211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</w:t>
            </w:r>
            <w:r w:rsidR="00343211">
              <w:rPr>
                <w:rFonts w:ascii="Times New Roman" w:hAnsi="Times New Roman"/>
                <w:sz w:val="28"/>
                <w:szCs w:val="28"/>
              </w:rPr>
              <w:t>ень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Перевірка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книги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особистих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справ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</w:t>
            </w:r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алфавітної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книги</w:t>
            </w:r>
          </w:p>
        </w:tc>
        <w:tc>
          <w:tcPr>
            <w:tcW w:w="2361" w:type="dxa"/>
          </w:tcPr>
          <w:p w:rsidR="00334426" w:rsidRPr="00343211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контролю за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здійсненням</w:t>
            </w:r>
            <w:proofErr w:type="spellEnd"/>
            <w:r w:rsidR="003E18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proofErr w:type="gramEnd"/>
          </w:p>
          <w:p w:rsidR="00334426" w:rsidRDefault="003E18C8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r w:rsidR="003344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3344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індивідуальною</w:t>
            </w:r>
            <w:proofErr w:type="spellEnd"/>
            <w:proofErr w:type="gramEnd"/>
            <w:r w:rsidR="0033442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формою</w:t>
            </w:r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</w:p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року</w:t>
            </w:r>
            <w:proofErr w:type="spellEnd"/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Pr="00343211" w:rsidRDefault="00334426" w:rsidP="00343211">
            <w:pPr>
              <w:ind w:right="-8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="00343211"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343211"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="00343211"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планів</w:t>
            </w:r>
            <w:proofErr w:type="spellEnd"/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всіх</w:t>
            </w:r>
            <w:proofErr w:type="spellEnd"/>
            <w:r w:rsidR="00343211"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="00343211"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="00343211"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досягнень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учні</w:t>
            </w:r>
            <w:r w:rsidR="003E18C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</w:t>
            </w:r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End"/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.12.20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</w:p>
          <w:p w:rsidR="00334426" w:rsidRPr="00343211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334426" w:rsidTr="00343211">
        <w:trPr>
          <w:jc w:val="center"/>
        </w:trPr>
        <w:tc>
          <w:tcPr>
            <w:tcW w:w="6699" w:type="dxa"/>
            <w:vAlign w:val="center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Методичний</w:t>
            </w:r>
            <w:proofErr w:type="spellEnd"/>
            <w:r w:rsidR="003432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мовного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року</w:t>
            </w:r>
            <w:proofErr w:type="spellEnd"/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343211">
            <w:pPr>
              <w:ind w:right="-8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нормативності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освітньої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наступності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неперервності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навчанні</w:t>
            </w:r>
            <w:proofErr w:type="spellEnd"/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року</w:t>
            </w:r>
            <w:proofErr w:type="spellEnd"/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E96A4F">
            <w:pPr>
              <w:tabs>
                <w:tab w:val="left" w:pos="683"/>
              </w:tabs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Класно-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узагальнюючий</w:t>
            </w:r>
            <w:proofErr w:type="spellEnd"/>
            <w:r w:rsidR="003E18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="003E18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математики.</w:t>
            </w:r>
          </w:p>
        </w:tc>
        <w:tc>
          <w:tcPr>
            <w:tcW w:w="2361" w:type="dxa"/>
          </w:tcPr>
          <w:p w:rsidR="00334426" w:rsidRPr="002D34EF" w:rsidRDefault="00334426" w:rsidP="00343211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</w:t>
            </w:r>
            <w:r w:rsidR="0034321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343211">
            <w:pPr>
              <w:ind w:right="-8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класно-узагальнюючого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контролю </w:t>
            </w:r>
          </w:p>
        </w:tc>
        <w:tc>
          <w:tcPr>
            <w:tcW w:w="2361" w:type="dxa"/>
          </w:tcPr>
          <w:p w:rsidR="00334426" w:rsidRPr="00A75A21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334426" w:rsidTr="00343211">
        <w:trPr>
          <w:jc w:val="center"/>
        </w:trPr>
        <w:tc>
          <w:tcPr>
            <w:tcW w:w="6699" w:type="dxa"/>
            <w:vAlign w:val="center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Фронтальний</w:t>
            </w:r>
            <w:proofErr w:type="spellEnd"/>
            <w:r w:rsidR="003432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426" w:rsidTr="00343211">
        <w:trPr>
          <w:trHeight w:val="377"/>
          <w:jc w:val="center"/>
        </w:trPr>
        <w:tc>
          <w:tcPr>
            <w:tcW w:w="6699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 математики (4кл.)</w:t>
            </w:r>
          </w:p>
        </w:tc>
        <w:tc>
          <w:tcPr>
            <w:tcW w:w="2361" w:type="dxa"/>
          </w:tcPr>
          <w:p w:rsidR="00334426" w:rsidRPr="00A75A21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334426" w:rsidTr="00343211">
        <w:trPr>
          <w:jc w:val="center"/>
        </w:trPr>
        <w:tc>
          <w:tcPr>
            <w:tcW w:w="6699" w:type="dxa"/>
          </w:tcPr>
          <w:p w:rsidR="00334426" w:rsidRDefault="00334426" w:rsidP="00343211">
            <w:pPr>
              <w:ind w:right="-8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="00343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фронтального контролю </w:t>
            </w:r>
          </w:p>
        </w:tc>
        <w:tc>
          <w:tcPr>
            <w:tcW w:w="2361" w:type="dxa"/>
          </w:tcPr>
          <w:p w:rsidR="00334426" w:rsidRDefault="00334426" w:rsidP="00E96A4F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Квітень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2020</w:t>
            </w:r>
          </w:p>
        </w:tc>
      </w:tr>
    </w:tbl>
    <w:p w:rsidR="00334426" w:rsidRDefault="00334426" w:rsidP="00E96A4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4426" w:rsidRDefault="00334426" w:rsidP="0034321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Освітня</w:t>
      </w:r>
      <w:proofErr w:type="spellEnd"/>
      <w:r w:rsidR="003432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початкової</w:t>
      </w:r>
      <w:proofErr w:type="spellEnd"/>
      <w:r w:rsidR="003432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освіти</w:t>
      </w:r>
      <w:proofErr w:type="spellEnd"/>
      <w:r w:rsidR="003432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(компетентностей),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="00343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стандартом.</w:t>
      </w:r>
    </w:p>
    <w:p w:rsidR="00334426" w:rsidRDefault="00334426" w:rsidP="00E96A4F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Перелік  навчальних програм, які мають гриф «Затверджено Міністерством освіти і науки України» і розміщені на офіційному веб-сайті МОН .</w:t>
      </w:r>
    </w:p>
    <w:p w:rsidR="00334426" w:rsidRDefault="00334426" w:rsidP="00E96A4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Освітня програма закладу  сформована на основі Типової освітньої програми, схвалена педагогічною радою закладу освіти та затверджена  директором. </w:t>
      </w:r>
    </w:p>
    <w:p w:rsidR="00334426" w:rsidRDefault="00334426" w:rsidP="00E96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E96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E96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E96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E96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E96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E96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3211" w:rsidRDefault="00343211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334426" w:rsidP="006213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4426" w:rsidRDefault="005063FF" w:rsidP="0087699A">
      <w:pPr>
        <w:pStyle w:val="2"/>
        <w:keepNext w:val="0"/>
        <w:widowControl w:val="0"/>
        <w:numPr>
          <w:ilvl w:val="1"/>
          <w:numId w:val="4"/>
        </w:numPr>
        <w:tabs>
          <w:tab w:val="center" w:pos="5310"/>
          <w:tab w:val="right" w:pos="106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Робочий навчальний план на 20</w:t>
      </w:r>
      <w:r w:rsidRPr="005063FF">
        <w:rPr>
          <w:sz w:val="28"/>
          <w:szCs w:val="28"/>
          <w:lang w:val="ru-RU"/>
        </w:rPr>
        <w:t>20</w:t>
      </w:r>
      <w:r w:rsidR="00334426">
        <w:rPr>
          <w:sz w:val="28"/>
          <w:szCs w:val="28"/>
        </w:rPr>
        <w:t xml:space="preserve"> -202</w:t>
      </w:r>
      <w:r w:rsidRPr="005063FF">
        <w:rPr>
          <w:sz w:val="28"/>
          <w:szCs w:val="28"/>
          <w:lang w:val="ru-RU"/>
        </w:rPr>
        <w:t>1</w:t>
      </w:r>
      <w:r w:rsidR="00334426">
        <w:rPr>
          <w:sz w:val="28"/>
          <w:szCs w:val="28"/>
        </w:rPr>
        <w:t xml:space="preserve"> н. р.</w:t>
      </w:r>
    </w:p>
    <w:p w:rsidR="00334426" w:rsidRDefault="00334426" w:rsidP="008769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ОК»</w:t>
      </w:r>
    </w:p>
    <w:p w:rsidR="00334426" w:rsidRDefault="00334426" w:rsidP="00766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початкової школи з українською мовою навчання розроблений за Типовим положенням МОН України від 20.04.2018 р № 405  (додаток 1)</w:t>
      </w:r>
    </w:p>
    <w:p w:rsidR="005063FF" w:rsidRDefault="005063FF" w:rsidP="007668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857" w:type="dxa"/>
        <w:tblInd w:w="182" w:type="dxa"/>
        <w:tblLayout w:type="fixed"/>
        <w:tblLook w:val="00A0" w:firstRow="1" w:lastRow="0" w:firstColumn="1" w:lastColumn="0" w:noHBand="0" w:noVBand="0"/>
      </w:tblPr>
      <w:tblGrid>
        <w:gridCol w:w="2836"/>
        <w:gridCol w:w="2564"/>
        <w:gridCol w:w="236"/>
        <w:gridCol w:w="3221"/>
      </w:tblGrid>
      <w:tr w:rsidR="00334426" w:rsidRPr="003E18C8" w:rsidTr="005063FF">
        <w:trPr>
          <w:cantSplit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426" w:rsidRDefault="003344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4426" w:rsidRDefault="003344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426" w:rsidRDefault="003344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4426" w:rsidRDefault="003344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426" w:rsidRDefault="003344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</w:p>
          <w:p w:rsidR="00334426" w:rsidRDefault="00334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укласах</w:t>
            </w:r>
            <w:proofErr w:type="spellEnd"/>
          </w:p>
        </w:tc>
      </w:tr>
      <w:tr w:rsidR="00334426" w:rsidTr="005063FF">
        <w:trPr>
          <w:cantSplit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4426" w:rsidRDefault="0033442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4426" w:rsidRDefault="00334426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Pr="005063FF" w:rsidRDefault="00334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34426" w:rsidTr="005063FF">
        <w:trPr>
          <w:cantSplit/>
          <w:trHeight w:val="370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4426" w:rsidTr="005063FF">
        <w:trPr>
          <w:cantSplit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4426" w:rsidRDefault="0033442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426" w:rsidTr="005063FF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Pr="000F51B8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Pr="000F51B8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4426" w:rsidTr="005063FF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426" w:rsidTr="005063FF">
        <w:trPr>
          <w:cantSplit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426" w:rsidTr="005063FF">
        <w:trPr>
          <w:cantSplit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4426" w:rsidRDefault="0033442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426" w:rsidTr="005063FF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426" w:rsidTr="005063FF">
        <w:trPr>
          <w:cantSplit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4426" w:rsidTr="005063FF">
        <w:trPr>
          <w:cantSplit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4426" w:rsidRDefault="0033442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426" w:rsidTr="005063FF">
        <w:trPr>
          <w:cantSplit/>
          <w:trHeight w:val="284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з о м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Pr="000F51B8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426" w:rsidRPr="000F51B8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334426" w:rsidTr="005063FF">
        <w:trPr>
          <w:cantSplit/>
          <w:trHeight w:val="1685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Варіативна</w:t>
            </w:r>
            <w:proofErr w:type="spellEnd"/>
            <w:r w:rsidR="005063FF" w:rsidRPr="005063F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складова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:</w:t>
            </w:r>
          </w:p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Додаткові</w:t>
            </w:r>
            <w:proofErr w:type="spellEnd"/>
            <w:r w:rsidR="005063FF" w:rsidRPr="00506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підсилення</w:t>
            </w:r>
            <w:proofErr w:type="spellEnd"/>
            <w:r w:rsidR="005063FF" w:rsidRPr="00506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 w:rsidR="00766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4426" w:rsidTr="005063FF">
        <w:trPr>
          <w:cantSplit/>
          <w:trHeight w:val="128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Default="00334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Гранично</w:t>
            </w:r>
            <w:proofErr w:type="spellEnd"/>
            <w:r w:rsidR="005063FF" w:rsidRPr="00506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допустиме</w:t>
            </w:r>
            <w:proofErr w:type="spellEnd"/>
            <w:r w:rsidR="005063FF" w:rsidRPr="00506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навчальне</w:t>
            </w:r>
            <w:proofErr w:type="spellEnd"/>
            <w:r w:rsidR="005063FF" w:rsidRPr="00506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наванта-ження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урахування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фізичної</w:t>
            </w:r>
            <w:proofErr w:type="spellEnd"/>
            <w:r w:rsidR="005063FF" w:rsidRPr="00506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та</w:t>
            </w:r>
            <w:r w:rsidR="005063FF" w:rsidRPr="00506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групові</w:t>
            </w:r>
            <w:proofErr w:type="spellEnd"/>
            <w:r w:rsidR="005063FF" w:rsidRPr="00506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4426" w:rsidTr="005063FF">
        <w:trPr>
          <w:cantSplit/>
          <w:trHeight w:val="573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Pr="00BF148C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Всього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фінансується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бюджету</w:t>
            </w:r>
          </w:p>
          <w:p w:rsidR="00334426" w:rsidRPr="00BF148C" w:rsidRDefault="0033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4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сумарна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годин</w:t>
            </w:r>
            <w:r w:rsidR="005063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інваріант</w:t>
            </w:r>
            <w:proofErr w:type="spellEnd"/>
            <w:r w:rsidRPr="00BF1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4426" w:rsidRPr="002D34EF" w:rsidRDefault="00506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4426"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варіативної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334426" w:rsidRPr="00876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складових</w:t>
            </w:r>
            <w:proofErr w:type="spellEnd"/>
            <w:r w:rsidR="00334426" w:rsidRPr="00BF14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Pr="000F51B8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4426" w:rsidRDefault="00334426" w:rsidP="00823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334426" w:rsidRDefault="00334426" w:rsidP="0087699A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5063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="00506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5063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гранично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допустимого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5063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5063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обов'язково</w:t>
      </w:r>
      <w:proofErr w:type="spellEnd"/>
      <w:r w:rsidR="005063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426" w:rsidRDefault="00334426" w:rsidP="0087699A">
      <w:pPr>
        <w:pStyle w:val="2"/>
        <w:keepNext w:val="0"/>
        <w:widowControl w:val="0"/>
        <w:numPr>
          <w:ilvl w:val="1"/>
          <w:numId w:val="1"/>
        </w:numPr>
        <w:tabs>
          <w:tab w:val="center" w:pos="5310"/>
          <w:tab w:val="right" w:pos="10620"/>
        </w:tabs>
        <w:ind w:left="0" w:firstLine="0"/>
        <w:rPr>
          <w:sz w:val="28"/>
          <w:szCs w:val="28"/>
        </w:rPr>
      </w:pPr>
    </w:p>
    <w:p w:rsidR="00334426" w:rsidRDefault="00334426" w:rsidP="0087699A">
      <w:pPr>
        <w:rPr>
          <w:rFonts w:ascii="Times New Roman" w:hAnsi="Times New Roman" w:cs="Times New Roman"/>
          <w:lang w:val="uk-UA"/>
        </w:rPr>
      </w:pPr>
    </w:p>
    <w:p w:rsidR="00334426" w:rsidRPr="0087699A" w:rsidRDefault="00334426">
      <w:pPr>
        <w:rPr>
          <w:lang w:val="uk-UA"/>
        </w:rPr>
      </w:pPr>
    </w:p>
    <w:sectPr w:rsidR="00334426" w:rsidRPr="0087699A" w:rsidSect="000F51B8">
      <w:headerReference w:type="default" r:id="rId1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CC" w:rsidRDefault="003D76CC" w:rsidP="006F6829">
      <w:r>
        <w:separator/>
      </w:r>
    </w:p>
  </w:endnote>
  <w:endnote w:type="continuationSeparator" w:id="0">
    <w:p w:rsidR="003D76CC" w:rsidRDefault="003D76CC" w:rsidP="006F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CC" w:rsidRDefault="003D76CC" w:rsidP="006F6829">
      <w:r>
        <w:separator/>
      </w:r>
    </w:p>
  </w:footnote>
  <w:footnote w:type="continuationSeparator" w:id="0">
    <w:p w:rsidR="003D76CC" w:rsidRDefault="003D76CC" w:rsidP="006F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BF" w:rsidRDefault="005721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18C8" w:rsidRPr="003E18C8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5721BF" w:rsidRDefault="005721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CB1044"/>
    <w:multiLevelType w:val="hybridMultilevel"/>
    <w:tmpl w:val="F2B6D3D0"/>
    <w:lvl w:ilvl="0" w:tplc="14D48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BC4"/>
    <w:rsid w:val="000034E3"/>
    <w:rsid w:val="000F2DD1"/>
    <w:rsid w:val="000F51B8"/>
    <w:rsid w:val="00135081"/>
    <w:rsid w:val="00137639"/>
    <w:rsid w:val="00162EFF"/>
    <w:rsid w:val="001906B6"/>
    <w:rsid w:val="00202D45"/>
    <w:rsid w:val="00223296"/>
    <w:rsid w:val="002D34EF"/>
    <w:rsid w:val="00317762"/>
    <w:rsid w:val="00334426"/>
    <w:rsid w:val="00343211"/>
    <w:rsid w:val="003856ED"/>
    <w:rsid w:val="003A29DA"/>
    <w:rsid w:val="003D76CC"/>
    <w:rsid w:val="003E18C8"/>
    <w:rsid w:val="00432B64"/>
    <w:rsid w:val="004469A6"/>
    <w:rsid w:val="0047767E"/>
    <w:rsid w:val="004F6665"/>
    <w:rsid w:val="005063FF"/>
    <w:rsid w:val="0051574A"/>
    <w:rsid w:val="00552E9B"/>
    <w:rsid w:val="005721BF"/>
    <w:rsid w:val="00583999"/>
    <w:rsid w:val="005911F3"/>
    <w:rsid w:val="005A14C1"/>
    <w:rsid w:val="00621300"/>
    <w:rsid w:val="006513EC"/>
    <w:rsid w:val="006739F4"/>
    <w:rsid w:val="006D14AF"/>
    <w:rsid w:val="006F6829"/>
    <w:rsid w:val="00763647"/>
    <w:rsid w:val="0076688F"/>
    <w:rsid w:val="00784F8C"/>
    <w:rsid w:val="008230D3"/>
    <w:rsid w:val="0084006B"/>
    <w:rsid w:val="0087699A"/>
    <w:rsid w:val="008E5BC4"/>
    <w:rsid w:val="009847A7"/>
    <w:rsid w:val="00A26C11"/>
    <w:rsid w:val="00A51912"/>
    <w:rsid w:val="00A75A21"/>
    <w:rsid w:val="00AB53A9"/>
    <w:rsid w:val="00B2705E"/>
    <w:rsid w:val="00BF148C"/>
    <w:rsid w:val="00C07B04"/>
    <w:rsid w:val="00C16F00"/>
    <w:rsid w:val="00C4332B"/>
    <w:rsid w:val="00C56C47"/>
    <w:rsid w:val="00C61DA3"/>
    <w:rsid w:val="00C73315"/>
    <w:rsid w:val="00C9078E"/>
    <w:rsid w:val="00DC2211"/>
    <w:rsid w:val="00E60577"/>
    <w:rsid w:val="00E6259C"/>
    <w:rsid w:val="00E96A4F"/>
    <w:rsid w:val="00EA616F"/>
    <w:rsid w:val="00F64567"/>
    <w:rsid w:val="00F70035"/>
    <w:rsid w:val="00F952BA"/>
    <w:rsid w:val="00FE78C5"/>
    <w:rsid w:val="00FF3D2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A2DE4F-0C7B-4D83-B0A9-DCBE8CFA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9A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7699A"/>
    <w:pPr>
      <w:keepNext/>
      <w:widowControl/>
      <w:numPr>
        <w:ilvl w:val="1"/>
        <w:numId w:val="2"/>
      </w:numPr>
      <w:suppressAutoHyphens/>
      <w:ind w:left="0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7699A"/>
    <w:rPr>
      <w:rFonts w:ascii="Times New Roman" w:hAnsi="Times New Roman" w:cs="Times New Roman"/>
      <w:b/>
      <w:bCs/>
      <w:lang w:val="uk-UA" w:eastAsia="ar-SA" w:bidi="ar-SA"/>
    </w:rPr>
  </w:style>
  <w:style w:type="paragraph" w:customStyle="1" w:styleId="Default">
    <w:name w:val="Default"/>
    <w:uiPriority w:val="99"/>
    <w:rsid w:val="008769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87699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uk-UA"/>
    </w:rPr>
  </w:style>
  <w:style w:type="character" w:styleId="a3">
    <w:name w:val="Hyperlink"/>
    <w:uiPriority w:val="99"/>
    <w:semiHidden/>
    <w:rsid w:val="0087699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F6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6829"/>
    <w:rPr>
      <w:rFonts w:ascii="Microsoft Sans Serif" w:hAnsi="Microsoft Sans Serif" w:cs="Microsoft Sans Serif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6F6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F6829"/>
    <w:rPr>
      <w:rFonts w:ascii="Microsoft Sans Serif" w:hAnsi="Microsoft Sans Serif" w:cs="Microsoft Sans Serif"/>
      <w:color w:val="000000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5A14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A14C1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5-informatika-2-4-klas.docx" TargetMode="External"/><Relationship Id="rId13" Type="http://schemas.openxmlformats.org/officeDocument/2006/relationships/hyperlink" Target="https://mon.gov.ua/storage/app/media/zagalna%20serednya/programy-1-4-klas/9-obrazotvorche-mistecztvo-1-4-klas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-4-klas/1-ukrayinska-mova-1-4-klas.lyuba.doc" TargetMode="External"/><Relationship Id="rId12" Type="http://schemas.openxmlformats.org/officeDocument/2006/relationships/hyperlink" Target="https://mon.gov.ua/storage/app/media/zagalna%20serednya/programy-1-4-klas/1-muzichne-mistecztvo-1-4-klas.docx" TargetMode="External"/><Relationship Id="rId17" Type="http://schemas.openxmlformats.org/officeDocument/2006/relationships/hyperlink" Target="https://mon.gov.ua/storage/app/media/zagalna%20serednya/programy-1-4-klas/13.-fizichna-kultura-.1-4-klas-mon-zaminiti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0.-trudovenavchannya-1-4-klas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storage/app/media/zagalna%20serednya/programy-1-4-klas/8.-mistecztvo-1-4-kla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zagalna%20serednya/programy-1-4-klas/12.-prirodoznavstvo.-1-4-klas.doc" TargetMode="External"/><Relationship Id="rId10" Type="http://schemas.openxmlformats.org/officeDocument/2006/relationships/hyperlink" Target="https://mon.gov.ua/storage/app/media/zagalna%20serednya/programy-1-4-klas/4.-matematika.-1-4-klas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2.-literaturne-chitannya.-2-4-klas-29.07-tanya.docx" TargetMode="External"/><Relationship Id="rId14" Type="http://schemas.openxmlformats.org/officeDocument/2006/relationships/hyperlink" Target="https://mon.gov.ua/storage/app/media/zagalna%20serednya/programy-1-4-klas/6.-osnovi-zdorovya.-1-4-kla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2020-05-28T19:17:00Z</cp:lastPrinted>
  <dcterms:created xsi:type="dcterms:W3CDTF">2018-08-20T18:33:00Z</dcterms:created>
  <dcterms:modified xsi:type="dcterms:W3CDTF">2020-05-28T19:18:00Z</dcterms:modified>
</cp:coreProperties>
</file>